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58" w:rsidRPr="00C21B23" w:rsidRDefault="00345358" w:rsidP="00C21B23">
      <w:pPr>
        <w:rPr>
          <w:b/>
        </w:rPr>
      </w:pPr>
      <w:r w:rsidRPr="00C21B23">
        <w:rPr>
          <w:b/>
        </w:rPr>
        <w:t>Mortgagee sale</w:t>
      </w:r>
      <w:r w:rsidRPr="00C21B23">
        <w:rPr>
          <w:b/>
        </w:rPr>
        <w:t>s</w:t>
      </w:r>
      <w:r w:rsidRPr="00C21B23">
        <w:rPr>
          <w:b/>
        </w:rPr>
        <w:t>:</w:t>
      </w:r>
    </w:p>
    <w:p w:rsidR="00345358" w:rsidRPr="00C21B23" w:rsidRDefault="00345358" w:rsidP="00C21B23"/>
    <w:p w:rsidR="00345358" w:rsidRPr="00C21B23" w:rsidRDefault="00345358" w:rsidP="00C21B23">
      <w:r w:rsidRPr="00C21B23">
        <w:t xml:space="preserve">A mortgagee sale occurs when </w:t>
      </w:r>
      <w:r w:rsidR="00C21B23">
        <w:t>the person (Landlord) who</w:t>
      </w:r>
      <w:r w:rsidRPr="00C21B23">
        <w:t xml:space="preserve"> owns the property defaults on their mortgage payments </w:t>
      </w:r>
      <w:r w:rsidR="00C21B23" w:rsidRPr="00C21B23">
        <w:t>(</w:t>
      </w:r>
      <w:r w:rsidR="00C21B23">
        <w:t xml:space="preserve">that is, </w:t>
      </w:r>
      <w:r w:rsidR="00C21B23" w:rsidRPr="00C21B23">
        <w:t>they can’</w:t>
      </w:r>
      <w:r w:rsidR="00C21B23">
        <w:t xml:space="preserve">t pay their mortgage).  Their </w:t>
      </w:r>
      <w:r w:rsidRPr="00C21B23">
        <w:t xml:space="preserve">bank </w:t>
      </w:r>
      <w:r w:rsidR="00C21B23">
        <w:t>will need</w:t>
      </w:r>
      <w:r w:rsidRPr="00C21B23">
        <w:t xml:space="preserve"> to sell the property to reclaim the </w:t>
      </w:r>
      <w:r w:rsidR="00C21B23" w:rsidRPr="00C21B23">
        <w:t xml:space="preserve">borrowed money.  </w:t>
      </w:r>
    </w:p>
    <w:p w:rsidR="00C21B23" w:rsidRPr="00C21B23" w:rsidRDefault="00C21B23" w:rsidP="00C21B23"/>
    <w:p w:rsidR="00C21B23" w:rsidRDefault="00C21B23" w:rsidP="00C21B23">
      <w:pPr>
        <w:rPr>
          <w:rFonts w:eastAsia="Times New Roman" w:cs="Arial"/>
          <w:b/>
          <w:bCs/>
          <w:color w:val="373F4C"/>
          <w:lang w:val="en-AU"/>
        </w:rPr>
      </w:pPr>
      <w:r w:rsidRPr="00C21B23">
        <w:rPr>
          <w:rFonts w:eastAsia="Times New Roman" w:cs="Arial"/>
          <w:b/>
          <w:bCs/>
          <w:color w:val="373F4C"/>
          <w:lang w:val="en-AU"/>
        </w:rPr>
        <w:t>What happens with a mortgagee sale?</w:t>
      </w:r>
    </w:p>
    <w:p w:rsidR="00C21B23" w:rsidRPr="00C21B23" w:rsidRDefault="00C21B23" w:rsidP="00C21B23">
      <w:pPr>
        <w:rPr>
          <w:rFonts w:eastAsia="Times New Roman" w:cs="Arial"/>
          <w:color w:val="373F4C"/>
          <w:lang w:val="en-NZ"/>
        </w:rPr>
      </w:pPr>
    </w:p>
    <w:p w:rsidR="00000000" w:rsidRPr="00C21B23" w:rsidRDefault="00C21B23" w:rsidP="00C21B23">
      <w:pPr>
        <w:numPr>
          <w:ilvl w:val="0"/>
          <w:numId w:val="2"/>
        </w:numPr>
        <w:rPr>
          <w:rFonts w:eastAsia="Times New Roman" w:cs="Arial"/>
          <w:color w:val="373F4C"/>
          <w:lang w:val="en-NZ"/>
        </w:rPr>
      </w:pPr>
      <w:r w:rsidRPr="00C21B23">
        <w:rPr>
          <w:rFonts w:eastAsia="Times New Roman" w:cs="Arial"/>
          <w:color w:val="373F4C"/>
          <w:lang w:val="en-NZ"/>
        </w:rPr>
        <w:t xml:space="preserve">The bank becomes the landlord following its </w:t>
      </w:r>
      <w:r w:rsidRPr="00C21B23">
        <w:rPr>
          <w:rFonts w:eastAsia="Times New Roman" w:cs="Arial"/>
          <w:color w:val="373F4C"/>
          <w:lang w:val="en-NZ"/>
        </w:rPr>
        <w:t>default procedures.</w:t>
      </w:r>
    </w:p>
    <w:p w:rsidR="00000000" w:rsidRPr="00C21B23" w:rsidRDefault="00C21B23" w:rsidP="00C21B23">
      <w:pPr>
        <w:numPr>
          <w:ilvl w:val="0"/>
          <w:numId w:val="2"/>
        </w:numPr>
        <w:rPr>
          <w:rFonts w:eastAsia="Times New Roman" w:cs="Arial"/>
          <w:color w:val="373F4C"/>
          <w:lang w:val="en-NZ"/>
        </w:rPr>
      </w:pPr>
      <w:r w:rsidRPr="00C21B23">
        <w:rPr>
          <w:rFonts w:eastAsia="Times New Roman" w:cs="Arial"/>
          <w:color w:val="373F4C"/>
          <w:lang w:val="en-NZ"/>
        </w:rPr>
        <w:t>The bank must let the tenants know when it takes over as Landlord.</w:t>
      </w:r>
    </w:p>
    <w:p w:rsidR="00000000" w:rsidRPr="00C21B23" w:rsidRDefault="00C21B23" w:rsidP="00C21B23">
      <w:pPr>
        <w:numPr>
          <w:ilvl w:val="0"/>
          <w:numId w:val="2"/>
        </w:numPr>
        <w:rPr>
          <w:rFonts w:eastAsia="Times New Roman" w:cs="Arial"/>
          <w:color w:val="373F4C"/>
          <w:lang w:val="en-NZ"/>
        </w:rPr>
      </w:pPr>
      <w:r>
        <w:rPr>
          <w:rFonts w:eastAsia="Times New Roman" w:cs="Arial"/>
          <w:color w:val="373F4C"/>
          <w:lang w:val="en-NZ"/>
        </w:rPr>
        <w:t>The b</w:t>
      </w:r>
      <w:r w:rsidRPr="00C21B23">
        <w:rPr>
          <w:rFonts w:eastAsia="Times New Roman" w:cs="Arial"/>
          <w:color w:val="373F4C"/>
          <w:lang w:val="en-NZ"/>
        </w:rPr>
        <w:t>ank has the same obligations as any landlord under the Residential Tenancies Act 1986</w:t>
      </w:r>
      <w:r>
        <w:rPr>
          <w:rFonts w:eastAsia="Times New Roman" w:cs="Arial"/>
          <w:color w:val="373F4C"/>
          <w:lang w:val="en-NZ"/>
        </w:rPr>
        <w:t>.</w:t>
      </w:r>
    </w:p>
    <w:p w:rsidR="00C21B23" w:rsidRPr="00C21B23" w:rsidRDefault="00C21B23" w:rsidP="00C21B23">
      <w:pPr>
        <w:rPr>
          <w:rFonts w:eastAsia="Times New Roman" w:cs="Arial"/>
          <w:color w:val="373F4C"/>
          <w:lang w:val="en-NZ"/>
        </w:rPr>
      </w:pPr>
    </w:p>
    <w:p w:rsidR="00C21B23" w:rsidRDefault="00345358" w:rsidP="00C21B23">
      <w:pPr>
        <w:spacing w:after="150"/>
        <w:textAlignment w:val="baseline"/>
        <w:rPr>
          <w:rFonts w:cs="Arial"/>
          <w:color w:val="373F4C"/>
          <w:lang w:val="en-NZ"/>
        </w:rPr>
      </w:pPr>
      <w:r w:rsidRPr="00C21B23">
        <w:rPr>
          <w:rFonts w:cs="Arial"/>
          <w:color w:val="373F4C"/>
          <w:lang w:val="en-NZ"/>
        </w:rPr>
        <w:t xml:space="preserve">If the bond is held by Tenancy Services, the bank has 10 working days to </w:t>
      </w:r>
      <w:r w:rsidR="00C21B23" w:rsidRPr="00C21B23">
        <w:rPr>
          <w:rFonts w:cs="Arial"/>
          <w:color w:val="373F4C"/>
          <w:lang w:val="en-NZ"/>
        </w:rPr>
        <w:t xml:space="preserve">notify Tenancy Services that they have taken </w:t>
      </w:r>
      <w:r w:rsidRPr="00C21B23">
        <w:rPr>
          <w:rFonts w:cs="Arial"/>
          <w:color w:val="373F4C"/>
          <w:lang w:val="en-NZ"/>
        </w:rPr>
        <w:t xml:space="preserve">possession of the property. The bond stays with </w:t>
      </w:r>
      <w:r w:rsidR="00C21B23" w:rsidRPr="00C21B23">
        <w:rPr>
          <w:rFonts w:cs="Arial"/>
          <w:color w:val="373F4C"/>
          <w:lang w:val="en-NZ"/>
        </w:rPr>
        <w:t>Tenancy Services</w:t>
      </w:r>
      <w:r w:rsidR="00C21B23">
        <w:rPr>
          <w:rFonts w:cs="Arial"/>
          <w:color w:val="373F4C"/>
          <w:lang w:val="en-NZ"/>
        </w:rPr>
        <w:t xml:space="preserve"> and the bank replaces the L</w:t>
      </w:r>
      <w:r w:rsidRPr="00C21B23">
        <w:rPr>
          <w:rFonts w:cs="Arial"/>
          <w:color w:val="373F4C"/>
          <w:lang w:val="en-NZ"/>
        </w:rPr>
        <w:t>andlord on the bond record.</w:t>
      </w:r>
    </w:p>
    <w:p w:rsidR="00C21B23" w:rsidRPr="00C21B23" w:rsidRDefault="00C21B23" w:rsidP="00C21B23">
      <w:pPr>
        <w:spacing w:after="150"/>
        <w:textAlignment w:val="baseline"/>
        <w:rPr>
          <w:rFonts w:cs="Arial"/>
          <w:color w:val="373F4C"/>
          <w:lang w:val="en-NZ"/>
        </w:rPr>
      </w:pPr>
    </w:p>
    <w:p w:rsidR="00345358" w:rsidRPr="00C21B23" w:rsidRDefault="00345358" w:rsidP="00C21B23">
      <w:pPr>
        <w:spacing w:after="60"/>
        <w:textAlignment w:val="baseline"/>
        <w:outlineLvl w:val="1"/>
        <w:rPr>
          <w:rFonts w:eastAsia="Times New Roman" w:cs="Arial"/>
          <w:b/>
          <w:color w:val="373F4C"/>
          <w:spacing w:val="-15"/>
          <w:lang w:val="en-NZ"/>
        </w:rPr>
      </w:pPr>
      <w:r w:rsidRPr="00C21B23">
        <w:rPr>
          <w:rFonts w:eastAsia="Times New Roman" w:cs="Arial"/>
          <w:b/>
          <w:color w:val="373F4C"/>
          <w:spacing w:val="-15"/>
          <w:lang w:val="en-NZ"/>
        </w:rPr>
        <w:t>Obligations during and after the sale</w:t>
      </w:r>
      <w:r w:rsidR="00C21B23">
        <w:rPr>
          <w:rFonts w:eastAsia="Times New Roman" w:cs="Arial"/>
          <w:b/>
          <w:color w:val="373F4C"/>
          <w:spacing w:val="-15"/>
          <w:lang w:val="en-NZ"/>
        </w:rPr>
        <w:t>:</w:t>
      </w:r>
    </w:p>
    <w:p w:rsidR="00345358" w:rsidRPr="00C21B23" w:rsidRDefault="00345358" w:rsidP="00C21B23">
      <w:pPr>
        <w:spacing w:after="150"/>
        <w:textAlignment w:val="baseline"/>
        <w:rPr>
          <w:rFonts w:cs="Arial"/>
          <w:color w:val="373F4C"/>
          <w:lang w:val="en-NZ"/>
        </w:rPr>
      </w:pPr>
      <w:r w:rsidRPr="00C21B23">
        <w:rPr>
          <w:rFonts w:cs="Arial"/>
          <w:color w:val="373F4C"/>
          <w:lang w:val="en-NZ"/>
        </w:rPr>
        <w:t xml:space="preserve">When the bank sells the property, they have the same obligations </w:t>
      </w:r>
      <w:r w:rsidR="00C21B23" w:rsidRPr="00C21B23">
        <w:rPr>
          <w:rFonts w:cs="Arial"/>
          <w:color w:val="373F4C"/>
          <w:lang w:val="en-NZ"/>
        </w:rPr>
        <w:t xml:space="preserve">under the Residential Tenancies Act 1986 as any other Landlord.  </w:t>
      </w:r>
    </w:p>
    <w:p w:rsidR="00C21B23" w:rsidRDefault="00C21B23" w:rsidP="00C21B23">
      <w:pPr>
        <w:spacing w:after="150"/>
        <w:textAlignment w:val="baseline"/>
        <w:rPr>
          <w:rFonts w:cs="Arial"/>
          <w:b/>
          <w:color w:val="373F4C"/>
          <w:lang w:val="en-NZ"/>
        </w:rPr>
      </w:pPr>
    </w:p>
    <w:p w:rsidR="00C21B23" w:rsidRPr="00C21B23" w:rsidRDefault="00C21B23" w:rsidP="00C21B23">
      <w:pPr>
        <w:spacing w:after="150"/>
        <w:textAlignment w:val="baseline"/>
        <w:rPr>
          <w:rFonts w:cs="Arial"/>
          <w:b/>
          <w:color w:val="373F4C"/>
          <w:lang w:val="en-NZ"/>
        </w:rPr>
      </w:pPr>
      <w:r w:rsidRPr="00C21B23">
        <w:rPr>
          <w:rFonts w:cs="Arial"/>
          <w:b/>
          <w:color w:val="373F4C"/>
          <w:lang w:val="en-NZ"/>
        </w:rPr>
        <w:t xml:space="preserve">Special nature of </w:t>
      </w:r>
      <w:r w:rsidRPr="00C21B23">
        <w:rPr>
          <w:rFonts w:cs="Arial"/>
          <w:b/>
          <w:bCs/>
          <w:color w:val="373F4C"/>
          <w:lang w:val="en-NZ"/>
        </w:rPr>
        <w:t>fixed-term tenancies:</w:t>
      </w:r>
    </w:p>
    <w:p w:rsidR="00000000" w:rsidRPr="00C21B23" w:rsidRDefault="00C21B23" w:rsidP="00C21B23">
      <w:pPr>
        <w:numPr>
          <w:ilvl w:val="0"/>
          <w:numId w:val="3"/>
        </w:numPr>
        <w:spacing w:after="150"/>
        <w:textAlignment w:val="baseline"/>
        <w:rPr>
          <w:rFonts w:cs="Arial"/>
          <w:color w:val="373F4C"/>
          <w:lang w:val="en-NZ"/>
        </w:rPr>
      </w:pPr>
      <w:r w:rsidRPr="00C21B23">
        <w:rPr>
          <w:rFonts w:cs="Arial"/>
          <w:color w:val="373F4C"/>
          <w:lang w:val="en-NZ"/>
        </w:rPr>
        <w:t xml:space="preserve">With </w:t>
      </w:r>
      <w:bookmarkStart w:id="0" w:name="_GoBack"/>
      <w:bookmarkEnd w:id="0"/>
      <w:r w:rsidRPr="00C21B23">
        <w:rPr>
          <w:rFonts w:cs="Arial"/>
          <w:color w:val="373F4C"/>
          <w:lang w:val="en-NZ"/>
        </w:rPr>
        <w:t xml:space="preserve">a mortgagee sale, the bank (or the person who buys the property at the mortgagee auction) </w:t>
      </w:r>
      <w:r w:rsidRPr="00C21B23">
        <w:rPr>
          <w:rFonts w:cs="Arial"/>
          <w:color w:val="373F4C"/>
          <w:lang w:val="en-NZ"/>
        </w:rPr>
        <w:t xml:space="preserve">can give notice to end the tenancy as if it were periodic.  42 days (in writing).  That means the property does not need to be sold with the tenancy.  </w:t>
      </w:r>
    </w:p>
    <w:p w:rsidR="00000000" w:rsidRPr="00C21B23" w:rsidRDefault="00C21B23" w:rsidP="00C21B23">
      <w:pPr>
        <w:numPr>
          <w:ilvl w:val="0"/>
          <w:numId w:val="3"/>
        </w:numPr>
        <w:spacing w:after="150"/>
        <w:textAlignment w:val="baseline"/>
        <w:rPr>
          <w:rFonts w:cs="Arial"/>
          <w:color w:val="373F4C"/>
          <w:lang w:val="en-NZ"/>
        </w:rPr>
      </w:pPr>
      <w:r w:rsidRPr="00C21B23">
        <w:rPr>
          <w:rFonts w:cs="Arial"/>
          <w:color w:val="373F4C"/>
          <w:lang w:val="en-NZ"/>
        </w:rPr>
        <w:t>The tenant can also give notice to end t</w:t>
      </w:r>
      <w:r w:rsidRPr="00C21B23">
        <w:rPr>
          <w:rFonts w:cs="Arial"/>
          <w:color w:val="373F4C"/>
          <w:lang w:val="en-NZ"/>
        </w:rPr>
        <w:t xml:space="preserve">he fixed-term tenancy as if it were a periodic tenancy being </w:t>
      </w:r>
      <w:r w:rsidRPr="00C21B23">
        <w:rPr>
          <w:rFonts w:cs="Arial"/>
          <w:color w:val="373F4C"/>
          <w:lang w:val="en-NZ"/>
        </w:rPr>
        <w:t>21 days notice (in writing).</w:t>
      </w:r>
    </w:p>
    <w:p w:rsidR="00B53D18" w:rsidRPr="00C21B23" w:rsidRDefault="00B53D18" w:rsidP="00D33451">
      <w:pPr>
        <w:spacing w:after="180" w:line="312" w:lineRule="auto"/>
        <w:rPr>
          <w:rFonts w:eastAsia="Tahoma" w:cs="Tahoma"/>
          <w:color w:val="7F7F7F"/>
          <w:sz w:val="20"/>
          <w:szCs w:val="20"/>
          <w:lang w:eastAsia="ja-JP"/>
        </w:rPr>
      </w:pPr>
    </w:p>
    <w:sectPr w:rsidR="00B53D18" w:rsidRPr="00C21B23" w:rsidSect="00B53D18">
      <w:headerReference w:type="default" r:id="rId8"/>
      <w:footerReference w:type="default" r:id="rId9"/>
      <w:pgSz w:w="11900" w:h="16840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358" w:rsidRDefault="00345358" w:rsidP="00FB7D7F">
      <w:r>
        <w:separator/>
      </w:r>
    </w:p>
  </w:endnote>
  <w:endnote w:type="continuationSeparator" w:id="0">
    <w:p w:rsidR="00345358" w:rsidRDefault="00345358" w:rsidP="00FB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altName w:val="Times New Roman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altName w:val="Times New Roman"/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45B" w:rsidRDefault="0087145B">
    <w:pPr>
      <w:pStyle w:val="Footer"/>
    </w:pPr>
    <w:r>
      <w:rPr>
        <w:noProof/>
      </w:rPr>
      <w:drawing>
        <wp:inline distT="0" distB="0" distL="0" distR="0">
          <wp:extent cx="5842000" cy="41125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ADJUSTEDNONRAW_thumb_26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190" cy="424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358" w:rsidRDefault="00345358" w:rsidP="00FB7D7F">
      <w:r>
        <w:separator/>
      </w:r>
    </w:p>
  </w:footnote>
  <w:footnote w:type="continuationSeparator" w:id="0">
    <w:p w:rsidR="00345358" w:rsidRDefault="00345358" w:rsidP="00FB7D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0A7" w:rsidRDefault="008B70A7" w:rsidP="00FB7D7F">
    <w:pPr>
      <w:pStyle w:val="Header"/>
      <w:jc w:val="both"/>
    </w:pPr>
  </w:p>
  <w:p w:rsidR="00FB7D7F" w:rsidRDefault="00FB7D7F" w:rsidP="00FB7D7F">
    <w:pPr>
      <w:pStyle w:val="Header"/>
      <w:jc w:val="both"/>
    </w:pPr>
    <w:r w:rsidRPr="009E5192"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AC3549C" wp14:editId="1C857086">
              <wp:simplePos x="0" y="0"/>
              <wp:positionH relativeFrom="page">
                <wp:posOffset>228600</wp:posOffset>
              </wp:positionH>
              <wp:positionV relativeFrom="page">
                <wp:posOffset>232272</wp:posOffset>
              </wp:positionV>
              <wp:extent cx="5013960" cy="7205980"/>
              <wp:effectExtent l="0" t="0" r="1270" b="0"/>
              <wp:wrapNone/>
              <wp:docPr id="2" name="Fram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chemeClr val="accent1">
                          <a:lumMod val="75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id="Frame 2" o:spid="_x0000_s1026" style="position:absolute;margin-left:18pt;margin-top:18.3pt;width:394.8pt;height:567.4pt;z-index:-251657216;visibility:visible;mso-wrap-style:square;mso-width-percent:941;mso-height-percent:954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954;mso-width-relative:page;mso-height-relative:page;v-text-anchor:middle" coordsize="5013960,72059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" path="m0,0l5013960,,5013960,7205980,,7205980,,0xm130564,130564l130564,7075416,4883396,7075416,4883396,130564,130564,130564xe" fillcolor="#2f5496 [2404]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  <w:r w:rsidRPr="009E5192">
      <w:rPr>
        <w:rFonts w:ascii="Tahoma" w:eastAsia="Tahoma" w:hAnsi="Tahoma" w:cs="Tahoma"/>
        <w:b/>
        <w:caps/>
        <w:noProof/>
        <w:color w:val="44546A"/>
        <w:kern w:val="28"/>
        <w:sz w:val="70"/>
        <w:szCs w:val="20"/>
      </w:rPr>
      <w:drawing>
        <wp:inline distT="0" distB="0" distL="0" distR="0" wp14:anchorId="5E6CE2FE" wp14:editId="652CEF39">
          <wp:extent cx="1828800" cy="404895"/>
          <wp:effectExtent l="0" t="0" r="0" b="1905"/>
          <wp:docPr id="4" name="Picture 4" descr="A picture containing drawing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olv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806" cy="419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B7D7F" w:rsidRDefault="00FB7D7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C2167"/>
    <w:multiLevelType w:val="hybridMultilevel"/>
    <w:tmpl w:val="5BBCBE16"/>
    <w:lvl w:ilvl="0" w:tplc="DCC2B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A2D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D8B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8AD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441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608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48A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C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2D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B684265"/>
    <w:multiLevelType w:val="multilevel"/>
    <w:tmpl w:val="99A6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077196"/>
    <w:multiLevelType w:val="hybridMultilevel"/>
    <w:tmpl w:val="A97C9490"/>
    <w:lvl w:ilvl="0" w:tplc="BB8EB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804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1ED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36D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C6F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D81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427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EE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D4F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58"/>
    <w:rsid w:val="00331FE9"/>
    <w:rsid w:val="00345358"/>
    <w:rsid w:val="00414158"/>
    <w:rsid w:val="004827EA"/>
    <w:rsid w:val="004A52CF"/>
    <w:rsid w:val="00541FB4"/>
    <w:rsid w:val="0087145B"/>
    <w:rsid w:val="008B70A7"/>
    <w:rsid w:val="008E5A14"/>
    <w:rsid w:val="00B53D18"/>
    <w:rsid w:val="00C21B23"/>
    <w:rsid w:val="00C44004"/>
    <w:rsid w:val="00CA27A7"/>
    <w:rsid w:val="00D33451"/>
    <w:rsid w:val="00E30634"/>
    <w:rsid w:val="00FB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5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D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D7F"/>
  </w:style>
  <w:style w:type="paragraph" w:styleId="Footer">
    <w:name w:val="footer"/>
    <w:basedOn w:val="Normal"/>
    <w:link w:val="FooterChar"/>
    <w:uiPriority w:val="99"/>
    <w:unhideWhenUsed/>
    <w:rsid w:val="00FB7D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D7F"/>
  </w:style>
  <w:style w:type="paragraph" w:styleId="Title">
    <w:name w:val="Title"/>
    <w:basedOn w:val="Normal"/>
    <w:next w:val="Normal"/>
    <w:link w:val="TitleChar"/>
    <w:uiPriority w:val="10"/>
    <w:qFormat/>
    <w:rsid w:val="00FB7D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GridTable6ColourfulAccent12">
    <w:name w:val="Grid Table 6 Colourful – Accent 12"/>
    <w:basedOn w:val="TableNormal"/>
    <w:next w:val="GridTable6ColorfulAccent1"/>
    <w:uiPriority w:val="51"/>
    <w:rsid w:val="00D33451"/>
    <w:rPr>
      <w:color w:val="2F5496"/>
      <w:sz w:val="20"/>
      <w:szCs w:val="20"/>
      <w:lang w:val="en-US" w:eastAsia="ja-JP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6ColorfulAccent1">
    <w:name w:val="Grid Table 6 Colorful Accent 1"/>
    <w:basedOn w:val="TableNormal"/>
    <w:uiPriority w:val="51"/>
    <w:rsid w:val="00D33451"/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45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35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5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D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D7F"/>
  </w:style>
  <w:style w:type="paragraph" w:styleId="Footer">
    <w:name w:val="footer"/>
    <w:basedOn w:val="Normal"/>
    <w:link w:val="FooterChar"/>
    <w:uiPriority w:val="99"/>
    <w:unhideWhenUsed/>
    <w:rsid w:val="00FB7D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D7F"/>
  </w:style>
  <w:style w:type="paragraph" w:styleId="Title">
    <w:name w:val="Title"/>
    <w:basedOn w:val="Normal"/>
    <w:next w:val="Normal"/>
    <w:link w:val="TitleChar"/>
    <w:uiPriority w:val="10"/>
    <w:qFormat/>
    <w:rsid w:val="00FB7D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GridTable6ColourfulAccent12">
    <w:name w:val="Grid Table 6 Colourful – Accent 12"/>
    <w:basedOn w:val="TableNormal"/>
    <w:next w:val="GridTable6ColorfulAccent1"/>
    <w:uiPriority w:val="51"/>
    <w:rsid w:val="00D33451"/>
    <w:rPr>
      <w:color w:val="2F5496"/>
      <w:sz w:val="20"/>
      <w:szCs w:val="20"/>
      <w:lang w:val="en-US" w:eastAsia="ja-JP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6ColorfulAccent1">
    <w:name w:val="Grid Table 6 Colorful Accent 1"/>
    <w:basedOn w:val="TableNormal"/>
    <w:uiPriority w:val="51"/>
    <w:rsid w:val="00D33451"/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45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35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19569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8048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415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219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823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593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vesnawells:Library:Containers:com.apple.mail:Data:Library:Mail%20Downloads:ADBCDC94-CA4C-471E-9156-BD516F94FE91:Resolve%20Template%20-%20Sml-Logo-Foo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Resolve Template - Sml-Logo-Footer.dotx</Template>
  <TotalTime>6</TotalTime>
  <Pages>1</Pages>
  <Words>198</Words>
  <Characters>1137</Characters>
  <Application>Microsoft Macintosh Word</Application>
  <DocSecurity>0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 We</dc:creator>
  <cp:keywords/>
  <dc:description/>
  <cp:lastModifiedBy>Ve We</cp:lastModifiedBy>
  <cp:revision>2</cp:revision>
  <cp:lastPrinted>2020-04-22T23:40:00Z</cp:lastPrinted>
  <dcterms:created xsi:type="dcterms:W3CDTF">2020-05-29T05:07:00Z</dcterms:created>
  <dcterms:modified xsi:type="dcterms:W3CDTF">2020-05-29T05:07:00Z</dcterms:modified>
</cp:coreProperties>
</file>